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7C38" w:rsidRPr="00757C38" w:rsidRDefault="00757C38" w:rsidP="00757C38">
      <w:pPr>
        <w:spacing w:line="240" w:lineRule="auto"/>
        <w:jc w:val="center"/>
        <w:rPr>
          <w:rFonts w:ascii="Times New Roman" w:eastAsia="Times New Roman" w:hAnsi="Times New Roman" w:cs="Times New Roman"/>
          <w:sz w:val="24"/>
          <w:szCs w:val="24"/>
          <w:lang w:eastAsia="cs-CZ"/>
        </w:rPr>
      </w:pPr>
      <w:r w:rsidRPr="00757C38">
        <w:rPr>
          <w:rFonts w:ascii="Times New Roman" w:eastAsia="Times New Roman" w:hAnsi="Times New Roman" w:cs="Times New Roman"/>
          <w:b/>
          <w:bCs/>
          <w:sz w:val="24"/>
          <w:szCs w:val="24"/>
          <w:lang w:eastAsia="cs-CZ"/>
        </w:rPr>
        <w:t>223</w:t>
      </w:r>
    </w:p>
    <w:p w:rsidR="00757C38" w:rsidRPr="00757C38" w:rsidRDefault="00757C38" w:rsidP="00757C38">
      <w:pPr>
        <w:spacing w:line="240" w:lineRule="auto"/>
        <w:rPr>
          <w:rFonts w:ascii="Times New Roman" w:eastAsia="Times New Roman" w:hAnsi="Times New Roman" w:cs="Times New Roman"/>
          <w:sz w:val="24"/>
          <w:szCs w:val="24"/>
          <w:lang w:eastAsia="cs-CZ"/>
        </w:rPr>
      </w:pPr>
    </w:p>
    <w:p w:rsidR="00757C38" w:rsidRPr="00757C38" w:rsidRDefault="00757C38" w:rsidP="00757C38">
      <w:pPr>
        <w:spacing w:line="240" w:lineRule="auto"/>
        <w:jc w:val="center"/>
        <w:rPr>
          <w:rFonts w:ascii="Times New Roman" w:eastAsia="Times New Roman" w:hAnsi="Times New Roman" w:cs="Times New Roman"/>
          <w:sz w:val="24"/>
          <w:szCs w:val="24"/>
          <w:lang w:eastAsia="cs-CZ"/>
        </w:rPr>
      </w:pPr>
      <w:r w:rsidRPr="00757C38">
        <w:rPr>
          <w:rFonts w:ascii="Times New Roman" w:eastAsia="Times New Roman" w:hAnsi="Times New Roman" w:cs="Times New Roman"/>
          <w:b/>
          <w:bCs/>
          <w:sz w:val="24"/>
          <w:szCs w:val="24"/>
          <w:lang w:eastAsia="cs-CZ"/>
        </w:rPr>
        <w:t>ZÁKON</w:t>
      </w:r>
    </w:p>
    <w:p w:rsidR="00757C38" w:rsidRPr="00757C38" w:rsidRDefault="00757C38" w:rsidP="00757C38">
      <w:pPr>
        <w:spacing w:line="240" w:lineRule="auto"/>
        <w:rPr>
          <w:rFonts w:ascii="Times New Roman" w:eastAsia="Times New Roman" w:hAnsi="Times New Roman" w:cs="Times New Roman"/>
          <w:sz w:val="24"/>
          <w:szCs w:val="24"/>
          <w:lang w:eastAsia="cs-CZ"/>
        </w:rPr>
      </w:pPr>
    </w:p>
    <w:p w:rsidR="00757C38" w:rsidRPr="00757C38" w:rsidRDefault="00757C38" w:rsidP="00757C38">
      <w:pPr>
        <w:spacing w:line="240" w:lineRule="auto"/>
        <w:jc w:val="center"/>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ze dne 21. června 2013,</w:t>
      </w:r>
    </w:p>
    <w:p w:rsidR="00757C38" w:rsidRPr="00757C38" w:rsidRDefault="00757C38" w:rsidP="00757C38">
      <w:pPr>
        <w:spacing w:line="240" w:lineRule="auto"/>
        <w:rPr>
          <w:rFonts w:ascii="Times New Roman" w:eastAsia="Times New Roman" w:hAnsi="Times New Roman" w:cs="Times New Roman"/>
          <w:sz w:val="24"/>
          <w:szCs w:val="24"/>
          <w:lang w:eastAsia="cs-CZ"/>
        </w:rPr>
      </w:pPr>
    </w:p>
    <w:p w:rsidR="00757C38" w:rsidRPr="00757C38" w:rsidRDefault="00757C38" w:rsidP="00757C38">
      <w:pPr>
        <w:spacing w:line="240" w:lineRule="auto"/>
        <w:jc w:val="center"/>
        <w:rPr>
          <w:rFonts w:ascii="Times New Roman" w:eastAsia="Times New Roman" w:hAnsi="Times New Roman" w:cs="Times New Roman"/>
          <w:sz w:val="24"/>
          <w:szCs w:val="24"/>
          <w:lang w:eastAsia="cs-CZ"/>
        </w:rPr>
      </w:pPr>
      <w:r w:rsidRPr="00757C38">
        <w:rPr>
          <w:rFonts w:ascii="Times New Roman" w:eastAsia="Times New Roman" w:hAnsi="Times New Roman" w:cs="Times New Roman"/>
          <w:b/>
          <w:bCs/>
          <w:sz w:val="24"/>
          <w:szCs w:val="24"/>
          <w:lang w:eastAsia="cs-CZ"/>
        </w:rPr>
        <w:t>kterým se mění zákon č. 258/2000 Sb., o ochraně veřejného zdraví</w:t>
      </w:r>
    </w:p>
    <w:p w:rsidR="00757C38" w:rsidRPr="00757C38" w:rsidRDefault="00757C38" w:rsidP="00757C38">
      <w:pPr>
        <w:spacing w:line="240" w:lineRule="auto"/>
        <w:jc w:val="center"/>
        <w:rPr>
          <w:rFonts w:ascii="Times New Roman" w:eastAsia="Times New Roman" w:hAnsi="Times New Roman" w:cs="Times New Roman"/>
          <w:sz w:val="24"/>
          <w:szCs w:val="24"/>
          <w:lang w:eastAsia="cs-CZ"/>
        </w:rPr>
      </w:pPr>
      <w:r w:rsidRPr="00757C38">
        <w:rPr>
          <w:rFonts w:ascii="Times New Roman" w:eastAsia="Times New Roman" w:hAnsi="Times New Roman" w:cs="Times New Roman"/>
          <w:b/>
          <w:bCs/>
          <w:sz w:val="24"/>
          <w:szCs w:val="24"/>
          <w:lang w:eastAsia="cs-CZ"/>
        </w:rPr>
        <w:t>a o změně některých souvisejících zákonů, ve znění pozdějších předpisů</w:t>
      </w:r>
    </w:p>
    <w:p w:rsidR="00757C38" w:rsidRPr="00757C38" w:rsidRDefault="00757C38" w:rsidP="00757C38">
      <w:pPr>
        <w:spacing w:after="240"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1" name="obrázek 1"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Parlament se usnesl na tomto zákoně České republiky:</w:t>
      </w:r>
      <w:r w:rsidRPr="00757C38">
        <w:rPr>
          <w:rFonts w:ascii="Times New Roman" w:eastAsia="Times New Roman" w:hAnsi="Times New Roman" w:cs="Times New Roman"/>
          <w:sz w:val="24"/>
          <w:szCs w:val="24"/>
          <w:lang w:eastAsia="cs-CZ"/>
        </w:rPr>
        <w:br/>
      </w:r>
    </w:p>
    <w:p w:rsidR="00757C38" w:rsidRPr="00757C38" w:rsidRDefault="00757C38" w:rsidP="00757C38">
      <w:pPr>
        <w:spacing w:line="240" w:lineRule="auto"/>
        <w:jc w:val="center"/>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Čl. I</w:t>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2" name="obrázek 2"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Zákon č. 258/2000 Sb., o ochraně veřejného zdraví a o změně některých souvisejících zákonů, ve znění zákona č. 254/2001 Sb., zákona č. 274/2001 Sb., zákona č. 13/2002 Sb., zákona č. 76/2002 Sb., zákona č. 86/2002 Sb., zákona č. 120/2002 Sb., zákona č. 309/2002 Sb., zákona č. 320/2002 Sb., zákona č. 274/2003 Sb., zákona č. 356/2003 Sb., zákona č. 362/2003 Sb., zákona č. 167/2004 Sb., zákona č. 326/2004 Sb., zákona č. 562/2004 Sb., zákona č. 125/2005 Sb., zákona č. 253/2005 Sb., zákona č. 381/2005 Sb., zákona č. 392/2005 Sb., zákona č. 444/2005 Sb., zákona č. 59/2006 Sb., zákona č. 74/2006 Sb., zákona č. 186/2006 Sb., zákona č. 189/2006 Sb., zákona č. 222/2006 Sb., zákona č. 264/2006 Sb., zákona č. 342/2006 Sb., zákona č. 110/2007 Sb., zákona č. 296/2007 Sb., zákona č. 378/2007 Sb., zákona č. 124/2008 Sb., zákona č. 130/2008 Sb., zákona č. 274/2008 Sb., zákona č. 41/2009 Sb., zákona č. 227/2009 Sb., zákona č. 281/2009 Sb., zákona č. 301/2009 Sb., zákona č. 151/2011 Sb., zákona č. 298/2011 Sb., zákona č. 375/2011 Sb., zákona č. 466/2011 Sb., zákona č. 115/2012 Sb. a zákona č. 333/2012 Sb., se mění takto:</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3" name="obrázek 3"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1. V § 1 úvodní část ustanovení zní: "Tento zákon zapracovává příslušné předpisy Evropské unie</w:t>
      </w:r>
      <w:r w:rsidRPr="00757C38">
        <w:rPr>
          <w:rFonts w:ascii="Times New Roman" w:eastAsia="Times New Roman" w:hAnsi="Times New Roman" w:cs="Times New Roman"/>
          <w:sz w:val="24"/>
          <w:szCs w:val="24"/>
          <w:vertAlign w:val="superscript"/>
          <w:lang w:eastAsia="cs-CZ"/>
        </w:rPr>
        <w:t>1)</w:t>
      </w:r>
      <w:r w:rsidRPr="00757C38">
        <w:rPr>
          <w:rFonts w:ascii="Times New Roman" w:eastAsia="Times New Roman" w:hAnsi="Times New Roman" w:cs="Times New Roman"/>
          <w:sz w:val="24"/>
          <w:szCs w:val="24"/>
          <w:lang w:eastAsia="cs-CZ"/>
        </w:rPr>
        <w:t xml:space="preserve"> a upravuje v návaznosti na přímo použitelné předpisy Evropské unie</w:t>
      </w:r>
      <w:r w:rsidRPr="00757C38">
        <w:rPr>
          <w:rFonts w:ascii="Times New Roman" w:eastAsia="Times New Roman" w:hAnsi="Times New Roman" w:cs="Times New Roman"/>
          <w:sz w:val="24"/>
          <w:szCs w:val="24"/>
          <w:vertAlign w:val="superscript"/>
          <w:lang w:eastAsia="cs-CZ"/>
        </w:rPr>
        <w:t>62)</w:t>
      </w:r>
      <w:r w:rsidRPr="00757C38">
        <w:rPr>
          <w:rFonts w:ascii="Times New Roman" w:eastAsia="Times New Roman" w:hAnsi="Times New Roman" w:cs="Times New Roman"/>
          <w:sz w:val="24"/>
          <w:szCs w:val="24"/>
          <w:lang w:eastAsia="cs-CZ"/>
        </w:rPr>
        <w:t>".</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4" name="obrázek 4"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2. Poznámky pod čarou č. 1 a 62 znějí: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t>______________________________________</w:t>
      </w:r>
      <w:r w:rsidRPr="00757C38">
        <w:rPr>
          <w:rFonts w:ascii="Times New Roman" w:eastAsia="Times New Roman" w:hAnsi="Times New Roman" w:cs="Times New Roman"/>
          <w:sz w:val="24"/>
          <w:szCs w:val="24"/>
          <w:lang w:eastAsia="cs-CZ"/>
        </w:rPr>
        <w:br/>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"1) </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Směrnice Evropského parlamentu a Rady č. 95/46/ES ze dne 24. října 1995 o ochraně fyzických osob v souvislosti se zpracováním osobních údajů a o volném pohybu těchto údajů.</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Směrnice Rady 98/83/ES ze dne 3. listopadu 1998 o jakosti vody určené k lidské spotřebě.</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Rozhodnutí Evropského parlamentu a Rady č. 2119/98/ES ze dne 24. září 1998 o zřízení sítě epidemiologického dozoru a kontroly přenosných nemocí ve Společenství.</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Rozhodnutí Komise 2000/96/ES ze dne 22. prosince 1999 o přenosných nemocích, které musí být postupně podchyceny sítí Společenství podle rozhodnutí Evropského parlamentu a Rady č. 2119/98/ES.</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Směrnice Evropského parlamentu a Rady č. 2000/54/ES ze dne 18. září 2000 o ochraně zaměstnanců před riziky spojenými s expozicí biologickým činitelům při práci (sedmá samostatná směrnice ve smyslu čl. 16 odst. 1 směrnice 89/391/EHS).</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lastRenderedPageBreak/>
        <w:t>Směrnice Evropského parlamentu a Rady 2002/49/ES ze dne 25. června 2002 o hodnocení a řízení hluku ve venkovním prostředí.</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Rozhodnutí Komise 2002/253/ES ze dne 19. března 2002, kterou se stanoví definice případů pro hlášení přenosných nemocí do sítě Společenství podle rozhodnutí Evropského parlamentu a Rady č. 2119/98/ES.</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Rozhodnutí Komise ES 2003/534/ES ze dne 17. července 2003, kterým se mění rozhodnutí č. 2119/98/ES Evropského parlamentu a Rady a rozhodnutí 2000/96/ES, pokud jde o přenosné nemoci uvedené v těchto rozhodnutích, a kterým se mění rozhodnutí 2002/253/ES, pokud jde o definice případů pro přenosné nemoci.</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Rozhodnutí Komise 2003/542/ES ze dne 17. července 2003, kterým se mění rozhodnutí 2000/96/ES, pokud jde o fungování specializovaných sítí epidemiologického dozoru.</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Směrnice Evropského parlamentu a Rady 2006/7/ES ze dne 15. února 2006 o řízení jakosti vod ke koupání a o zrušení směrnice 76/160/EHS.</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Rozhodnutí Komise 2007/875/ES ze dne 18. prosince 2007, kterým se mění rozhodnutí Evropského parlamentu a Rady č. 2119/98/ES a rozhodnutí 2000/96/ES, pokud jde o přenosné nemoci uvedené v těchto rozhodnutích.</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Rozhodnutí Komise 2008/426/ES ze dne 28. dubna 2008, kterým se mění rozhodnutí 2002/253/ES, kterým se stanoví definice případů pro hlášení přenosných nemocí do sítě Společenství podle rozhodnutí Evropského parlamentu a Rady č. 2119/98/ES.</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Směrnice Evropského parlamentu a Rady 2009/148/ES ze dne 30. listopadu 2009 o ochraně zaměstnanců před riziky spojenými s expozicí azbestu při práci.</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Rozhodnutí Komise 2009/177/ES ze dne 31. října 2008, kterým se provádí směrnice Rady 2006/88/ES, pokud jde o programy dozoru a eradikace a status členských států, oblastí a jednotek prostých nákazy.</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Rozhodnutí Komise 2009/363/ES ze dne 30. dubna 2009, kterým se mění rozhodnutí 2002/253/ES, kterým se stanoví definice případů pro hlášení přenosných nemocí do sítě Společenství podle rozhodnutí Evropského parlamentu a Rady č. 2119/98/ES.</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Rozhodnutí Komise 2009/539/ES ze dne 10. července 2009, kterým se mění rozhodnutí 2000/96/ES, o přenosných nemocích, které musí být postupně podchyceny sítí Společenství podle rozhodnutí Evropského parlamentu a Rady č. 2119/98/ES.</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Rozhodnutí Komise 2009/540/ES ze dne 10. července 2009, kterým se mění rozhodnutí 2002/253/ES, pokud jde o definice případů pro hlášení chřipky A(H1N1) do sítě Společenství.</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Rozhodnutí Komise 2009/547/ES ze dne 10. července 2009, kterým se mění rozhodnutí 2000/57/ES o systému včasného varování a reakce pro účely prevence a kontroly přenosných nemocí podle rozhodnutí Evropského parlamentu a Rady č. 2119/98/ES.</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Směrnice Rady 2010/32/EU ze dne 10. května 2010, kterou se provádí Rámcová dohoda o prevenci poranění ostrými předměty v nemocnicích a ostatních zdravotnických zařízeních, uzavřená mezi HOSPEEM a EPSU.</w:t>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62) </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Nařízení Rady (EHS) č. 2658/87 ze dne 23. července 1987 o celní a statistické nomenklatuře a o společném celním sazebníku.</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Nařízení Evropského parlamentu a Rady (ES) č. 178/2002 ze dne 28. ledna 2002, kterým se stanoví obecné zásady a požadavky potravinového práva, zřizuje se Evropský úřad pro bezpečnost potravin a stanoví postupy týkající se bezpečnosti potravin, v platném znění.</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Nařízení Evropského parlamentu a Rady (ES) č. 851/2004 ze dne 21. dubna 2004 o zřízení Evropského střediska pro prevenci a kontrolu nemocí.</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lastRenderedPageBreak/>
        <w:t>Nařízení Evropského parlamentu a Rady (ES) č. 852/2004 ze dne 29. dubna 2004 o hygieně potravin, v platném znění.</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Nařízení Evropského parlamentu a Rady (ES) č. 882/2004 ze dne 29. dubna 2004 o úředních kontrolách za účelem ověření dodržování právních předpisů týkajících se krmiv a potravin a pravidel o zdraví zvířat a dobrých životních podmínkách zvířat, v platném znění.</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Nařízení Evropského parlamentu a Rady (ES) č. 1935/2004 ze dne 27. října 2004 o materiálech a předmětech určených pro styk s potravinami a o zrušení směrnic 80/590/EHS a 89/109/EHS, v platném znění.</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Nařízení Evropského parlamentu a Rady (ES) č. 1223/2009 ze dne 30. listopadu 2009 o kosmetických přípravcích.".</w:t>
      </w:r>
    </w:p>
    <w:p w:rsidR="00757C38" w:rsidRPr="00757C38" w:rsidRDefault="00757C38" w:rsidP="00757C38">
      <w:pPr>
        <w:spacing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49885" cy="29210"/>
            <wp:effectExtent l="19050" t="0" r="0" b="0"/>
            <wp:docPr id="5" name="obrázek 5"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3. V § 2 odst. 10 a 11, § 3a odst. 4, § 3b odst. 1 a 2, § 26 odst. 1 a 2, § 75a odst. 1 a 3, § 80 odst. 1 písm. p), § 80 odst. 5, 6 a 7, § 82 odst. 2 písm. b), § 84 odst. 1 písm. a), § 84 odst. 2 a 5, § 92 odst. 1 a v § 100d se slova "Evropského společenství" a slova "Evropských společenství" nahrazují slovy "Evropské unie".</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6" name="obrázek 6"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4. V § 2 odst. 10 se za slovo "nestanoví-li" vkládají slova "přímo použitelný předpis Evropské unie nebo".</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7" name="obrázek 7"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5. V § 3 odstavec 5 zní: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8" name="obrázek 8"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"(5) Žádost podle odstavce 4 musí obsahovat ukazatel, kterého se nedodržení týká, důvody nedodržení hygienického limitu včetně vyhodnocení možnosti jiného zajištění dodávky pitné vody, návrh nápravných opatření včetně časového rozvrhu prací a odhadu nákladů, zásobovanou oblast a počet zásobovaných obyvatel, návrh doby trvání povolení, přehled nedodržení hygienického limitu jakéhokoliv ukazatele za posledních 12 měsíců, posouzení zdravotních rizik a navrhovaný rozsah a četnost kontroly jakosti pitné vody.".</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9" name="obrázek 9"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6. V § 3 se doplňuje odstavec 6, který zní: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10" name="obrázek 10"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"(6) V povolení podle odstavce 4 příslušný orgán ochrany veřejného zdraví určí maximální hodnotu dotčeného ukazatele a dobu odstranění závady.".</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11" name="obrázek 11"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 xml:space="preserve">7. V § 3a odst. 1 větě první se za slova "věty třetí," vkládají slova "nebo v případě, že povolení již vydáno bylo, ale doba nedodržení hygienického limitu přesáhla 30 dnů během posledních 12 měsíců,". </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12" name="obrázek 12"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8. V § 3a se na konci odstavce 8 doplňuje věta "Dále jsou osoby uvedené v § 3 odst. 2 povinny neprodleně zajistit zásobování pitnou vodou pro odběratele vyloučené nebo omezené v zásobování vodou.".</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13" name="obrázek 13"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9. V § 3a odst. 9 se věta druhá zrušuje.</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14" name="obrázek 14"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10. V § 4 odst. 1 se na začátek textu písmene a) vkládají slova "odběr vzorků pitné vody a jejich laboratorní" a slova ", která splňuje požadavky upravené prováděcím právním předpisem" se nahrazují slovy "upravené prováděcím právním předpisem nebo povolené příslušným orgánem ochrany veřejného zdraví podle odstavce 8; u ukazatelů, pro které není metoda prováděcím právním předpisem upravena nebo povolena, se postupuje podle metody, která odpovídá požadavkům upraveným prováděcím právním předpisem,".</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lastRenderedPageBreak/>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15" name="obrázek 15"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11. V § 4 odst. 6 větě první se slova "Zjistí-li osoba uvedená v § 3 odst. 2" nahrazují slovy "Existuje-li u dané zásobované oblasti podezření na", slova "nebo součástí pitné vody" se nahrazují slovy "nebo mikroorganismů" a slovo "neprodleně," se nahrazuje slovy "osoba uvedená v § 3 odst. 2 neprodleně zjistí koncentraci nebo množství této látky nebo mikroorganismu a", a ve větě druhé se slova "nebo součástí" nahrazují slovy "nebo mikroorganismů".</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16" name="obrázek 16"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12. V § 4 se doplňuje odstavec 8, který zní: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17" name="obrázek 17"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"(8) Příslušný orgán ochrany veřejného zdraví povolí použití jiné metody laboratorní kontroly pitné vody, než stanoví prováděcí právní předpis, pokud navrhovatel prokáže, že získané výsledky jsou nejméně tak spolehlivé jako výsledky získané pomocí metody upravené prováděcím právním předpisem.".</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18" name="obrázek 18"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13. V § 5 odstavec 6 zní: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19" name="obrázek 19"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"(6) Žádost o povolení podle odstavce 5 písm. a) nebo b) musí dále obsahovat u právnické osoby obchodní firmu nebo název a sídlo a u fyzické osoby jméno, příjmení a bydliště, označení typu výrobku nebo chemického přípravku a jeho obchodní název a chemické složení, doklad o čistotě látky a chemického přípravku podle příslušné technické normy, stručný popis technologie výroby s výčtem všech surovin a přídatných látek, údaje o koncentraci látky, jež je předmětem žádosti, údaje o koncentraci účinné látky v konečném chemickém přípravku, údaje o rozkladných produktech vznikajících z navrhované látky nebo chemického přípravku při výrobě, zpracovávání nebo stárnutí, údaje o předpokládaném způsobu použití výrobku nebo chemického přípravku, metody stanovení navrhovaných přísad a jejich nečistot včetně produktů interakcí a rozpadu, dostupnou zahraniční dokumentaci o tom, zda výrobek, navrhovaná látka nebo chemický přípravek byly povoleny v jiných státech a pro jaké užití, údaje o toxicitě navrhované látky nebo chemického přípravku, návod k použití výrobku nebo chemického přípravku a údaje o nejvyšší navrhované aplikační dávce chemického přípravku.".</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20" name="obrázek 20"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 xml:space="preserve">14. V § 5 se za odstavec 6 vkládá nový odstavec 7, který zní: </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21" name="obrázek 21"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"(7) Příslušný orgán ochrany veřejného zdraví vydá povolení podle odstavce 5, jestliže navrhovatel prokáže, že nedojde k negativnímu ovlivnění jakosti pitné nebo teplé vody.".</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t>Dosavadní odstavce 7 až 10 se označují jako odstavce 8 až 11.</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22" name="obrázek 22"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15. V § 6c odst. 1 písm. a) se slova ", nestanoví-li tento zákon jinak" nahrazují slovy "a podle monitorovacího kalendáře (§ 82a), jde-li o jakost vody ke koupání v přírodním koupališti provozovaném na povrchových vodách využívaných ke koupání podle § 6 odst. 1 písm. a)".</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23" name="obrázek 23"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 xml:space="preserve">16. V § 6g odst. 1 písm. a) se slova "přírodní koupaliště provozovaná na povrchových vodách využívaných ke koupání podle § 6a" nahrazují slovy "přírodní koupaliště provozovaná na povrchových vodách využívaných ke koupání, ve kterých nabízí službu koupání provozovatel podle § 6a", slova "nebo trvalé varování před koupáním" se zrušují a slova ", vyjma nádrží ke koupání a nádrží ke koupání s přírodním způsobem čištění vody; přírodní koupaliště provozovaná na povrchových vodách podle § 6a" se nahrazují slovy "přírodní </w:t>
      </w:r>
      <w:r w:rsidRPr="00757C38">
        <w:rPr>
          <w:rFonts w:ascii="Times New Roman" w:eastAsia="Times New Roman" w:hAnsi="Times New Roman" w:cs="Times New Roman"/>
          <w:sz w:val="24"/>
          <w:szCs w:val="24"/>
          <w:lang w:eastAsia="cs-CZ"/>
        </w:rPr>
        <w:lastRenderedPageBreak/>
        <w:t>koupaliště provozovaná na povrchových vodách využívaných ke koupání, ve kterých nabízí službu koupání provozovatel podle § 6a,".</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24" name="obrázek 24"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17. V § 6g odst. 1 písmeno b) zní: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"b)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přírodní koupaliště místního významu, provozovaná na povrchových vodách využívaných ke koupání, ve kterých nabízí službu koupání provozovatel podle § 6a, pro které nebyl vydán příslušným orgánem ochrany veřejného zdraví trvalý zákaz koupání,".</w:t>
      </w:r>
    </w:p>
    <w:p w:rsidR="00757C38" w:rsidRPr="00757C38" w:rsidRDefault="00757C38" w:rsidP="00757C38">
      <w:pPr>
        <w:spacing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49885" cy="29210"/>
            <wp:effectExtent l="19050" t="0" r="0" b="0"/>
            <wp:docPr id="25" name="obrázek 25"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18. V § 19 odst. 1 se slovo "prostředků" nahrazuje slovem "přípravků".</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26" name="obrázek 26"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19. V § 19 odst. 2 větě první se slovo "prostředky" nahrazuje slovem "přípravky" a slova "(§ 28 odst. 1)" se zrušují.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27" name="obrázek 27"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20. V § 21 odst. 2 větě čtvrté se slovo "prostředky" nahrazuje slovem "přípravky" a slova "v § 26" se nahrazují slovy "přímo použitelným předpisem Evropské unie".</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28" name="obrázek 28"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21. V § 23 odst. 1 se za slova "nebo rozvoz pokrmů" vkládají slova "provozovatelem potravinářského podniku".</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29" name="obrázek 29"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22. V § 23 odst. 3 se slova "prováděcím právním předpisem" nahrazují slovy "přímo použitelnými předpisy Evropské unie na úseku potravinového práva".</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30" name="obrázek 30"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23. V § 23 se za odstavec 3 vkládá nový odstavec 4, který zní: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31" name="obrázek 31"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"(4) Provozovatel potravinářského podniku provozující stravovací službu je povinen zajistit, aby fyzické osobě se zdravotním postižením byl umožněn vstup do stravovací části provozovny v doprovodu vodícího nebo asistenčního psa. Fyzická osoba se zdravotním postižením je povinna na požádání provozovatele potravinářského podniku provozujícího stravovací službu, jeho zaměstnance nebo jiné fyzické osoby, která vykonává v provozovně činnost pro tohoto provozovatele, předložit doklad o výcviku psa.".</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t>Dosavadní odstavec 4 se označuje jako odstavec 5.</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32" name="obrázek 32"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24. V § 23 odst. 5 se slova "Osoba, která hodlá provozovat stravovací službu, je povinna" nahrazují slovy "Provozovatel potravinářského podniku provozující stravovací službu je povinen", za slovo "provozoven," se vkládají slova "významnou změnu v předmětu nebo rozsahu činnosti nejpozději v den této změny," a věta poslední se zrušuje.</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33" name="obrázek 33"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25. V § 24 odstavec 1 zní: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34" name="obrázek 34"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"(1) Provozovatel potravinářského podniku provozující stravovací službu je dále povinen</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a)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lastRenderedPageBreak/>
        <w:t>k výrobě a přípravě pokrmů používat jen látky, suroviny, polotovary a potraviny, které vyhovují požadavkům stanoveným zvláštními právními předpisy</w:t>
      </w:r>
      <w:r w:rsidRPr="00757C38">
        <w:rPr>
          <w:rFonts w:ascii="Times New Roman" w:eastAsia="Times New Roman" w:hAnsi="Times New Roman" w:cs="Times New Roman"/>
          <w:sz w:val="24"/>
          <w:szCs w:val="24"/>
          <w:vertAlign w:val="superscript"/>
          <w:lang w:eastAsia="cs-CZ"/>
        </w:rPr>
        <w:t>23)</w:t>
      </w:r>
      <w:r w:rsidRPr="00757C38">
        <w:rPr>
          <w:rFonts w:ascii="Times New Roman" w:eastAsia="Times New Roman" w:hAnsi="Times New Roman" w:cs="Times New Roman"/>
          <w:sz w:val="24"/>
          <w:szCs w:val="24"/>
          <w:lang w:eastAsia="cs-CZ"/>
        </w:rPr>
        <w:t xml:space="preserve"> nebo na základě právních předpisů vydaným rozhodnutím orgánu ochrany veřejného zdraví; látky, suroviny, polotovary a potraviny skladovat za podmínek stanovených zvláštními právními předpisy,</w:t>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b)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dodržovat podmínky upravené prováděcím právním předpisem pro výrobu, přípravu, rozvoz, přepravu, značení, skladování a uvádění pokrmů do oběhu,</w:t>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c)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zajistit, aby podávané pokrmy měly odpovídající smyslové vlastnosti a splňovaly výživové požadavky podle skupiny spotřebitelů, pro které jsou určeny,</w:t>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d)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dodržovat při odběru a uchovávání vzorků pokrmů postup upravený prováděcím právním předpisem,</w:t>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e)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zajistit dodržování zákazu kouření v rozsahu stanoveném zvláštním právním předpisem</w:t>
      </w:r>
      <w:r w:rsidRPr="00757C38">
        <w:rPr>
          <w:rFonts w:ascii="Times New Roman" w:eastAsia="Times New Roman" w:hAnsi="Times New Roman" w:cs="Times New Roman"/>
          <w:sz w:val="24"/>
          <w:szCs w:val="24"/>
          <w:vertAlign w:val="superscript"/>
          <w:lang w:eastAsia="cs-CZ"/>
        </w:rPr>
        <w:t>27)</w:t>
      </w:r>
      <w:r w:rsidRPr="00757C38">
        <w:rPr>
          <w:rFonts w:ascii="Times New Roman" w:eastAsia="Times New Roman" w:hAnsi="Times New Roman" w:cs="Times New Roman"/>
          <w:sz w:val="24"/>
          <w:szCs w:val="24"/>
          <w:lang w:eastAsia="cs-CZ"/>
        </w:rPr>
        <w:t>.".</w:t>
      </w:r>
    </w:p>
    <w:p w:rsidR="00757C38" w:rsidRPr="00757C38" w:rsidRDefault="00757C38" w:rsidP="00757C38">
      <w:pPr>
        <w:spacing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49885" cy="29210"/>
            <wp:effectExtent l="19050" t="0" r="0" b="0"/>
            <wp:docPr id="35" name="obrázek 35"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26. Poznámky pod čarou č. 25 a 26 se zrušují, a to včetně odkazů na poznámky pod čarou.</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36" name="obrázek 36"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27. V § 24 se odstavce 2 a 3 zrušují.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t>Dosavadní odstavec 4 se označuje jako odstavec 2.</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37" name="obrázek 37"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28. V § 24 odst. 2 se slova "Osoba provozující stravovací služby, která" nahrazují slovy "Provozovatel potravinářského podniku provozující stravovací službu, který".</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38" name="obrázek 38"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29. V § 25 odst. 1 písm. a) se slova "Evropských společenství" nahrazují slovy "Evropské unie o materiálech a předmětech určených pro styk s potravinami".</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39" name="obrázek 39"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30. V § 25 odst. 1 písm. c) se slovo "prostředky" nahrazuje slovy "přípravky upravené přímo použitelným předpisem Evropské unie o kosmetických přípravcích</w:t>
      </w:r>
      <w:r w:rsidRPr="00757C38">
        <w:rPr>
          <w:rFonts w:ascii="Times New Roman" w:eastAsia="Times New Roman" w:hAnsi="Times New Roman" w:cs="Times New Roman"/>
          <w:sz w:val="24"/>
          <w:szCs w:val="24"/>
          <w:vertAlign w:val="superscript"/>
          <w:lang w:eastAsia="cs-CZ"/>
        </w:rPr>
        <w:t>63)</w:t>
      </w:r>
      <w:r w:rsidRPr="00757C38">
        <w:rPr>
          <w:rFonts w:ascii="Times New Roman" w:eastAsia="Times New Roman" w:hAnsi="Times New Roman" w:cs="Times New Roman"/>
          <w:sz w:val="24"/>
          <w:szCs w:val="24"/>
          <w:lang w:eastAsia="cs-CZ"/>
        </w:rPr>
        <w:t xml:space="preserve">". </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t>Poznámka pod čarou č. 63 zní:</w:t>
      </w:r>
      <w:r w:rsidRPr="00757C38">
        <w:rPr>
          <w:rFonts w:ascii="Times New Roman" w:eastAsia="Times New Roman" w:hAnsi="Times New Roman" w:cs="Times New Roman"/>
          <w:sz w:val="24"/>
          <w:szCs w:val="24"/>
          <w:lang w:eastAsia="cs-CZ"/>
        </w:rPr>
        <w:br/>
        <w:t>______________________________________</w:t>
      </w:r>
      <w:r w:rsidRPr="00757C38">
        <w:rPr>
          <w:rFonts w:ascii="Times New Roman" w:eastAsia="Times New Roman" w:hAnsi="Times New Roman" w:cs="Times New Roman"/>
          <w:sz w:val="24"/>
          <w:szCs w:val="24"/>
          <w:lang w:eastAsia="cs-CZ"/>
        </w:rPr>
        <w:br/>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"63)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Nařízení Evropského parlamentu a Rady (ES) č. 1223/2009.".</w:t>
      </w:r>
    </w:p>
    <w:p w:rsidR="00757C38" w:rsidRPr="00757C38" w:rsidRDefault="00757C38" w:rsidP="00757C38">
      <w:pPr>
        <w:spacing w:after="24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49885" cy="29210"/>
            <wp:effectExtent l="19050" t="0" r="0" b="0"/>
            <wp:docPr id="40" name="obrázek 40"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31. V § 25 se odstavec 2 včetně poznámky pod čarou č. 29 zrušuje a zároveň se zrušuje označení odstavce 1.</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41" name="obrázek 41"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32. V § 26 odst. 1 úvodní části ustanovení se slova "§ 25 odst. 1 písm. a), c) a d)" nahrazují slovy "§ 25 písm. a) a d)".</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42" name="obrázek 42"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33. V § 26 odst. 2 se slova "odst. 1" zrušují.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lastRenderedPageBreak/>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43" name="obrázek 43"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34. V § 26 odst. 3 větě první se slova "§ 25 odst. 1 písm. c) a d)" nahrazují slovy "§ 25 písm. d)" a ve větě druhé se slova "§ 25 odst. 1 písm. a), c) a d)" nahrazují slovy "§ 25 písm. a) a d)".</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44" name="obrázek 44"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35. V § 26 se odstavce 4 až 9 včetně poznámky pod čarou č. 29b zrušují.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t>Dosavadní odstavec 10 se označuje jako odstavec 4.</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45" name="obrázek 45"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36. V § 26 odst. 4 větě první se slova "odstavcích 1 až 3" nahrazují slovy "odstavci 1".</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46" name="obrázek 46"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37. § 27 včetně nadpisu a poznámky pod čarou č. 64 zní:</w:t>
      </w:r>
    </w:p>
    <w:p w:rsidR="00757C38" w:rsidRPr="00757C38" w:rsidRDefault="00757C38" w:rsidP="00757C38">
      <w:pPr>
        <w:spacing w:line="240" w:lineRule="auto"/>
        <w:jc w:val="center"/>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27</w:t>
      </w:r>
    </w:p>
    <w:p w:rsidR="00757C38" w:rsidRPr="00757C38" w:rsidRDefault="00757C38" w:rsidP="00757C38">
      <w:pPr>
        <w:spacing w:line="240" w:lineRule="auto"/>
        <w:rPr>
          <w:rFonts w:ascii="Times New Roman" w:eastAsia="Times New Roman" w:hAnsi="Times New Roman" w:cs="Times New Roman"/>
          <w:sz w:val="24"/>
          <w:szCs w:val="24"/>
          <w:lang w:eastAsia="cs-CZ"/>
        </w:rPr>
      </w:pPr>
    </w:p>
    <w:p w:rsidR="00757C38" w:rsidRPr="00757C38" w:rsidRDefault="00757C38" w:rsidP="00757C38">
      <w:pPr>
        <w:spacing w:line="240" w:lineRule="auto"/>
        <w:jc w:val="center"/>
        <w:rPr>
          <w:rFonts w:ascii="Times New Roman" w:eastAsia="Times New Roman" w:hAnsi="Times New Roman" w:cs="Times New Roman"/>
          <w:sz w:val="24"/>
          <w:szCs w:val="24"/>
          <w:lang w:eastAsia="cs-CZ"/>
        </w:rPr>
      </w:pPr>
      <w:r w:rsidRPr="00757C38">
        <w:rPr>
          <w:rFonts w:ascii="Times New Roman" w:eastAsia="Times New Roman" w:hAnsi="Times New Roman" w:cs="Times New Roman"/>
          <w:b/>
          <w:bCs/>
          <w:sz w:val="24"/>
          <w:szCs w:val="24"/>
          <w:lang w:eastAsia="cs-CZ"/>
        </w:rPr>
        <w:t>Kosmetické přípravky</w:t>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47" name="obrázek 47"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(1) Požadavky na výrobu, uvedení nebo dodání na trh kosmetických přípravků stanoví přímo použitelný předpis Evropské unie v oblasti kosmetických přípravků</w:t>
      </w:r>
      <w:r w:rsidRPr="00757C38">
        <w:rPr>
          <w:rFonts w:ascii="Times New Roman" w:eastAsia="Times New Roman" w:hAnsi="Times New Roman" w:cs="Times New Roman"/>
          <w:sz w:val="24"/>
          <w:szCs w:val="24"/>
          <w:vertAlign w:val="superscript"/>
          <w:lang w:eastAsia="cs-CZ"/>
        </w:rPr>
        <w:t>63)</w:t>
      </w:r>
      <w:r w:rsidRPr="00757C38">
        <w:rPr>
          <w:rFonts w:ascii="Times New Roman" w:eastAsia="Times New Roman" w:hAnsi="Times New Roman" w:cs="Times New Roman"/>
          <w:sz w:val="24"/>
          <w:szCs w:val="24"/>
          <w:lang w:eastAsia="cs-CZ"/>
        </w:rPr>
        <w:t>. Výrobce, dovozce nebo distributor zajistí, aby při dodávání na trh byly v označení kosmetického přípravku údaje podle přímo použitelného předpisu Evropské unie</w:t>
      </w:r>
      <w:r w:rsidRPr="00757C38">
        <w:rPr>
          <w:rFonts w:ascii="Times New Roman" w:eastAsia="Times New Roman" w:hAnsi="Times New Roman" w:cs="Times New Roman"/>
          <w:sz w:val="24"/>
          <w:szCs w:val="24"/>
          <w:vertAlign w:val="superscript"/>
          <w:lang w:eastAsia="cs-CZ"/>
        </w:rPr>
        <w:t>64)</w:t>
      </w:r>
      <w:r w:rsidRPr="00757C38">
        <w:rPr>
          <w:rFonts w:ascii="Times New Roman" w:eastAsia="Times New Roman" w:hAnsi="Times New Roman" w:cs="Times New Roman"/>
          <w:sz w:val="24"/>
          <w:szCs w:val="24"/>
          <w:lang w:eastAsia="cs-CZ"/>
        </w:rPr>
        <w:t xml:space="preserve"> uvedeny v českém jazyce.</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48" name="obrázek 48"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(2) Kosmetické přípravky, které nejsou ve spotřebitelském balení, jsou baleny v místě prodeje na žádost kupujícího nebo jsou baleny pro okamžitý prodej, označí prodejce údaji uvedenými v odstavci 1 a dalšími údaji podle přímo použitelného předpisu Evropské unie v oblasti kosmetických přípravků</w:t>
      </w:r>
      <w:r w:rsidRPr="00757C38">
        <w:rPr>
          <w:rFonts w:ascii="Times New Roman" w:eastAsia="Times New Roman" w:hAnsi="Times New Roman" w:cs="Times New Roman"/>
          <w:sz w:val="24"/>
          <w:szCs w:val="24"/>
          <w:vertAlign w:val="superscript"/>
          <w:lang w:eastAsia="cs-CZ"/>
        </w:rPr>
        <w:t>63)</w:t>
      </w:r>
      <w:r w:rsidRPr="00757C38">
        <w:rPr>
          <w:rFonts w:ascii="Times New Roman" w:eastAsia="Times New Roman" w:hAnsi="Times New Roman" w:cs="Times New Roman"/>
          <w:sz w:val="24"/>
          <w:szCs w:val="24"/>
          <w:lang w:eastAsia="cs-CZ"/>
        </w:rPr>
        <w:t xml:space="preserve"> na vnějším spotřebitelském obalu kosmetického přípravku nebo v přiloženém letáku.</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t>______________________________________</w:t>
      </w:r>
      <w:r w:rsidRPr="00757C38">
        <w:rPr>
          <w:rFonts w:ascii="Times New Roman" w:eastAsia="Times New Roman" w:hAnsi="Times New Roman" w:cs="Times New Roman"/>
          <w:sz w:val="24"/>
          <w:szCs w:val="24"/>
          <w:lang w:eastAsia="cs-CZ"/>
        </w:rPr>
        <w:br/>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64)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Článek 19 odst. 5 nařízení Evropského parlamentu a Rady (ES) č. 1223/2009.".</w:t>
      </w:r>
    </w:p>
    <w:p w:rsidR="00757C38" w:rsidRPr="00757C38" w:rsidRDefault="00757C38" w:rsidP="00757C38">
      <w:pPr>
        <w:spacing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49885" cy="29210"/>
            <wp:effectExtent l="19050" t="0" r="0" b="0"/>
            <wp:docPr id="49" name="obrázek 49"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38. Poznámky pod čarou č. 29b, 29c, 29d a 29e se zrušují, a to včetně odkazů na poznámky pod čarou.</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50" name="obrázek 50"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39. § 28, 28a a 29 se včetně poznámky pod čarou č. 29f a odkazů na poznámku pod čarou zrušují.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51" name="obrázek 51"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 xml:space="preserve">40. V § 41 se doplňuje odstavec 4, který včetně poznámky pod čarou č. 65 zní: </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52" name="obrázek 52"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"(4) Jde-li o laboratoře provádějící diagnostickou službu pro biologické činitele skupiny 4, oznámí zaměstnavatel příslušnému orgánu ochrany veřejného zdraví pouze záměr používat tyto biologické činitele</w:t>
      </w:r>
      <w:r w:rsidRPr="00757C38">
        <w:rPr>
          <w:rFonts w:ascii="Times New Roman" w:eastAsia="Times New Roman" w:hAnsi="Times New Roman" w:cs="Times New Roman"/>
          <w:sz w:val="24"/>
          <w:szCs w:val="24"/>
          <w:vertAlign w:val="superscript"/>
          <w:lang w:eastAsia="cs-CZ"/>
        </w:rPr>
        <w:t>65)</w:t>
      </w:r>
      <w:r w:rsidRPr="00757C38">
        <w:rPr>
          <w:rFonts w:ascii="Times New Roman" w:eastAsia="Times New Roman" w:hAnsi="Times New Roman" w:cs="Times New Roman"/>
          <w:sz w:val="24"/>
          <w:szCs w:val="24"/>
          <w:lang w:eastAsia="cs-CZ"/>
        </w:rPr>
        <w:t>.</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t>______________________________________</w:t>
      </w:r>
      <w:r w:rsidRPr="00757C38">
        <w:rPr>
          <w:rFonts w:ascii="Times New Roman" w:eastAsia="Times New Roman" w:hAnsi="Times New Roman" w:cs="Times New Roman"/>
          <w:sz w:val="24"/>
          <w:szCs w:val="24"/>
          <w:lang w:eastAsia="cs-CZ"/>
        </w:rPr>
        <w:br/>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65)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Směrnice Evropského parlamentu a Rady č. 2000/54/ES.".</w:t>
      </w:r>
    </w:p>
    <w:p w:rsidR="00757C38" w:rsidRPr="00757C38" w:rsidRDefault="00757C38" w:rsidP="00757C38">
      <w:pPr>
        <w:spacing w:after="24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lastRenderedPageBreak/>
        <w:drawing>
          <wp:inline distT="0" distB="0" distL="0" distR="0">
            <wp:extent cx="349885" cy="29210"/>
            <wp:effectExtent l="19050" t="0" r="0" b="0"/>
            <wp:docPr id="53" name="obrázek 53"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41. Za § 75a se vkládá nový § 75b, který včetně nadpisu zní:</w:t>
      </w:r>
    </w:p>
    <w:p w:rsidR="00757C38" w:rsidRPr="00757C38" w:rsidRDefault="00757C38" w:rsidP="00757C38">
      <w:pPr>
        <w:spacing w:line="240" w:lineRule="auto"/>
        <w:jc w:val="center"/>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75b</w:t>
      </w:r>
    </w:p>
    <w:p w:rsidR="00757C38" w:rsidRPr="00757C38" w:rsidRDefault="00757C38" w:rsidP="00757C38">
      <w:pPr>
        <w:spacing w:line="240" w:lineRule="auto"/>
        <w:rPr>
          <w:rFonts w:ascii="Times New Roman" w:eastAsia="Times New Roman" w:hAnsi="Times New Roman" w:cs="Times New Roman"/>
          <w:sz w:val="24"/>
          <w:szCs w:val="24"/>
          <w:lang w:eastAsia="cs-CZ"/>
        </w:rPr>
      </w:pPr>
    </w:p>
    <w:p w:rsidR="00757C38" w:rsidRPr="00757C38" w:rsidRDefault="00757C38" w:rsidP="00757C38">
      <w:pPr>
        <w:spacing w:line="240" w:lineRule="auto"/>
        <w:jc w:val="center"/>
        <w:rPr>
          <w:rFonts w:ascii="Times New Roman" w:eastAsia="Times New Roman" w:hAnsi="Times New Roman" w:cs="Times New Roman"/>
          <w:sz w:val="24"/>
          <w:szCs w:val="24"/>
          <w:lang w:eastAsia="cs-CZ"/>
        </w:rPr>
      </w:pPr>
      <w:r w:rsidRPr="00757C38">
        <w:rPr>
          <w:rFonts w:ascii="Times New Roman" w:eastAsia="Times New Roman" w:hAnsi="Times New Roman" w:cs="Times New Roman"/>
          <w:b/>
          <w:bCs/>
          <w:sz w:val="24"/>
          <w:szCs w:val="24"/>
          <w:lang w:eastAsia="cs-CZ"/>
        </w:rPr>
        <w:t>Postup při poranění ostrým kontaminovaným předmětem</w:t>
      </w:r>
    </w:p>
    <w:p w:rsidR="00757C38" w:rsidRPr="00757C38" w:rsidRDefault="00757C38" w:rsidP="00757C38">
      <w:pPr>
        <w:spacing w:line="240" w:lineRule="auto"/>
        <w:jc w:val="center"/>
        <w:rPr>
          <w:rFonts w:ascii="Times New Roman" w:eastAsia="Times New Roman" w:hAnsi="Times New Roman" w:cs="Times New Roman"/>
          <w:sz w:val="24"/>
          <w:szCs w:val="24"/>
          <w:lang w:eastAsia="cs-CZ"/>
        </w:rPr>
      </w:pPr>
      <w:r w:rsidRPr="00757C38">
        <w:rPr>
          <w:rFonts w:ascii="Times New Roman" w:eastAsia="Times New Roman" w:hAnsi="Times New Roman" w:cs="Times New Roman"/>
          <w:b/>
          <w:bCs/>
          <w:sz w:val="24"/>
          <w:szCs w:val="24"/>
          <w:lang w:eastAsia="cs-CZ"/>
        </w:rPr>
        <w:t>nebo nástrojem</w:t>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54" name="obrázek 54"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(1) Poskytovatel zdravotních služeb je povinen bezodkladně oznámit příslušnému orgánu ochrany veřejného zdraví každé poranění zdravotnického nebo jiného odborného pracovníka, které vzniklo při manipulaci s ostrým kontaminovaným předmětem nebo nástrojem použitým k provádění zdravotních výkonů během poskytování zdravotní péče, v jehož důsledku by mohlo dojít ke vzniku infekčního onemocnění přenosného krví. Příslušný orgán ochrany veřejného zdraví rozhodne o nařízení lékařského dohledu nad poraněným pracovníkem.</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55" name="obrázek 55"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(2) Poskytovatel zdravotních služeb je povinen postupovat při laboratorní diagnostice u poraněného pracovníka v souladu se systémem epidemiologické bdělosti pro vybrané infekce.".</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56" name="obrázek 56"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42. V § 80 odst. 1 písm. f) se za slovo "podle" vkládají slova "§ 4 odst. 8," a slova "§ 26 odst. 4, 5 a 8, § 28," a slova "§ 26 odst. 6, § 27 odst. 1, § 27b, 28a," se zrušují.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57" name="obrázek 57"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43. V § 80 odst. 1 se na konci textu písmene p) doplňují slova "a plní další úkoly vyplývající pro členský stát z přímo použitelných předpisů Evropské unie na úseku potravinového práva, předmětů běžného užívání uvedených v § 25 písm. a) a c) a výrobků přicházejících do přímého styku s vodou, pokud tento zákon nebo zvláštní právní předpis nestanoví, že je plní krajské hygienické stanice".</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58" name="obrázek 58"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44. V § 80 se na konci odstavce 1 tečka nahrazuje čárkou a doplňuje se písmeno x), které zní: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"x)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přijímá žádosti podle přímo použitelného předpisu Evropské unie na úseku materiálů a předmětů pro styk s potravinami o povolení nové látky dosud neuvedené na seznamu látek, jejichž užití při výrobě materiálů a předmětů určených pro styk s potravinami je povoleno, jakož i žádosti o změnu povolení vydaných podle tohoto přímo použitelného předpisu Evropské unie.".</w:t>
      </w:r>
    </w:p>
    <w:p w:rsidR="00757C38" w:rsidRPr="00757C38" w:rsidRDefault="00757C38" w:rsidP="00757C38">
      <w:pPr>
        <w:spacing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49885" cy="29210"/>
            <wp:effectExtent l="19050" t="0" r="0" b="0"/>
            <wp:docPr id="59" name="obrázek 59"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45. V § 80 odst. 3 se věta druhá zrušuje a ve větě poslední se slovo "prostředků" nahrazuje slovem "přípravků".</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60" name="obrázek 60"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 xml:space="preserve">46. V § 80 odst. 5 se slova "kosmetický prostředek" nahrazují slovy "výrobek, nad nímž vykonává státní zdravotní dozor orgán ochrany veřejného zdraví". </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61" name="obrázek 61"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47. V § 80 odst. 6 se slova "odstavce 4" nahrazují slovy "odstavce 5".</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62" name="obrázek 62"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48. V § 82 odst. 2 písm. b) se za slova "zdraví včetně" vkládají slova "dodržování zásad správné výrobní praxe a".</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63" name="obrázek 63"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 xml:space="preserve">49. V § 82 odst. 2 písm. q) se slova "osobě provozující stravovací službu" nahrazují </w:t>
      </w:r>
      <w:r w:rsidRPr="00757C38">
        <w:rPr>
          <w:rFonts w:ascii="Times New Roman" w:eastAsia="Times New Roman" w:hAnsi="Times New Roman" w:cs="Times New Roman"/>
          <w:sz w:val="24"/>
          <w:szCs w:val="24"/>
          <w:lang w:eastAsia="cs-CZ"/>
        </w:rPr>
        <w:lastRenderedPageBreak/>
        <w:t>slovy "provozovateli potravinářského podniku provozujícímu stravovací službu" a slova "zdravotní nezávadnosti" se nahrazují slovem "bezpečnosti".</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64" name="obrázek 64"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50. V § 82 odst. 2 se dosavadní písmeno v) druhé v pořadí označuje jako písmeno w).</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65" name="obrázek 65"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51. V § 82 se na konci odstavce 2 tečka nahrazuje čárkou a doplňují se písmena x) a y), která včetně poznámek pod čarou č. 66 a 67 znějí: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"x)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provádět v případě přeshraniční spolupráce státní zdravotní dozor a postupovat přitom podle přímo použitelného předpisu Evropské unie o spolupráci v oblasti ochrany spotřebitele</w:t>
      </w:r>
      <w:r w:rsidRPr="00757C38">
        <w:rPr>
          <w:rFonts w:ascii="Times New Roman" w:eastAsia="Times New Roman" w:hAnsi="Times New Roman" w:cs="Times New Roman"/>
          <w:sz w:val="24"/>
          <w:szCs w:val="24"/>
          <w:vertAlign w:val="superscript"/>
          <w:lang w:eastAsia="cs-CZ"/>
        </w:rPr>
        <w:t>66)</w:t>
      </w:r>
      <w:r w:rsidRPr="00757C38">
        <w:rPr>
          <w:rFonts w:ascii="Times New Roman" w:eastAsia="Times New Roman" w:hAnsi="Times New Roman" w:cs="Times New Roman"/>
          <w:sz w:val="24"/>
          <w:szCs w:val="24"/>
          <w:lang w:eastAsia="cs-CZ"/>
        </w:rPr>
        <w:t>,</w:t>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y)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provádět audity analýz rizik a systémů kritických kontrolních bodů podle přímo použitelného předpisu Evropské unie o úředních kontrolách</w:t>
      </w:r>
      <w:r w:rsidRPr="00757C38">
        <w:rPr>
          <w:rFonts w:ascii="Times New Roman" w:eastAsia="Times New Roman" w:hAnsi="Times New Roman" w:cs="Times New Roman"/>
          <w:sz w:val="24"/>
          <w:szCs w:val="24"/>
          <w:vertAlign w:val="superscript"/>
          <w:lang w:eastAsia="cs-CZ"/>
        </w:rPr>
        <w:t>67)</w:t>
      </w:r>
      <w:r w:rsidRPr="00757C38">
        <w:rPr>
          <w:rFonts w:ascii="Times New Roman" w:eastAsia="Times New Roman" w:hAnsi="Times New Roman" w:cs="Times New Roman"/>
          <w:sz w:val="24"/>
          <w:szCs w:val="24"/>
          <w:lang w:eastAsia="cs-CZ"/>
        </w:rPr>
        <w:t xml:space="preserve"> v provozovnách stravovacích služeb.</w:t>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______________________________________</w:t>
      </w:r>
      <w:r w:rsidRPr="00757C38">
        <w:rPr>
          <w:rFonts w:ascii="Times New Roman" w:eastAsia="Times New Roman" w:hAnsi="Times New Roman" w:cs="Times New Roman"/>
          <w:sz w:val="24"/>
          <w:szCs w:val="24"/>
          <w:lang w:eastAsia="cs-CZ"/>
        </w:rPr>
        <w:br/>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66) </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Nařízení Evropského parlamentu a Rady (ES) č. 2006/2004 ze dne 27. října 2004 o spolupráci mezi vnitrostátními orgány příslušnými pro vymáhání dodržování zákonů na ochranu zájmů spotřebitele ("nařízení o spolupráci v oblasti ochrany spotřebitele").</w:t>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67)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Článek 2 bod 6 a článek 10 odst. 1 nařízení Evropského parlamentu a Rady (ES) č. 882/2004.".</w:t>
      </w:r>
    </w:p>
    <w:p w:rsidR="00757C38" w:rsidRPr="00757C38" w:rsidRDefault="00757C38" w:rsidP="00757C38">
      <w:pPr>
        <w:spacing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49885" cy="29210"/>
            <wp:effectExtent l="19050" t="0" r="0" b="0"/>
            <wp:docPr id="66" name="obrázek 66"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52. V § 82 se doplňuje odstavec 5, který včetně poznámky pod čarou č. 68 zní: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67" name="obrázek 67"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"(5) O provedeném auditu podle odstavce 2 písm. y) sepíše pověřený zaměstnanec příslušné krajské hygienické stanice protokol; při jeho pořízení postupuje podle technické normy pro auditování systému managementu</w:t>
      </w:r>
      <w:r w:rsidRPr="00757C38">
        <w:rPr>
          <w:rFonts w:ascii="Times New Roman" w:eastAsia="Times New Roman" w:hAnsi="Times New Roman" w:cs="Times New Roman"/>
          <w:sz w:val="24"/>
          <w:szCs w:val="24"/>
          <w:vertAlign w:val="superscript"/>
          <w:lang w:eastAsia="cs-CZ"/>
        </w:rPr>
        <w:t>68)</w:t>
      </w:r>
      <w:r w:rsidRPr="00757C38">
        <w:rPr>
          <w:rFonts w:ascii="Times New Roman" w:eastAsia="Times New Roman" w:hAnsi="Times New Roman" w:cs="Times New Roman"/>
          <w:sz w:val="24"/>
          <w:szCs w:val="24"/>
          <w:lang w:eastAsia="cs-CZ"/>
        </w:rPr>
        <w:t>.</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t>______________________________________</w:t>
      </w:r>
      <w:r w:rsidRPr="00757C38">
        <w:rPr>
          <w:rFonts w:ascii="Times New Roman" w:eastAsia="Times New Roman" w:hAnsi="Times New Roman" w:cs="Times New Roman"/>
          <w:sz w:val="24"/>
          <w:szCs w:val="24"/>
          <w:lang w:eastAsia="cs-CZ"/>
        </w:rPr>
        <w:br/>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68)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ČSN EN ISO 19011:2012 Směrnice pro auditování systémů managementu.".</w:t>
      </w:r>
    </w:p>
    <w:p w:rsidR="00757C38" w:rsidRPr="00757C38" w:rsidRDefault="00757C38" w:rsidP="00757C38">
      <w:pPr>
        <w:spacing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49885" cy="29210"/>
            <wp:effectExtent l="19050" t="0" r="0" b="0"/>
            <wp:docPr id="68" name="obrázek 68"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53. V § 82a odst. 1 písm. c) se slova "nebo dočasné nebo trvalé varování před koupáním" zrušují.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69" name="obrázek 69"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54. V § 82a odst. 1 písm. e) se slova "v blízkosti koupacího místa," zrušují a za slova "Portálu veřejné správy;" se vkládají slova "o vodách zařazených do seznamu podle § 6g odst. 1 písm. a) informuje současně také na informační tabuli umístěné v blízkosti koupacího místa;".</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70" name="obrázek 70"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55. V § 82a odst. 2 písmeno d) zní: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lastRenderedPageBreak/>
        <w:t xml:space="preserve">"d)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krátkodobým znečištěním vody mikrobiologická kontaminace, která má jasně zjistitelné příčiny, u níž se obvykle neočekává, že zhorší jakost vody po dobu delší než přibližně 72 hodin poté, co došlo k prvnímu ovlivnění; hodnoty, při kterých se považuje voda ke koupání za krátkodobě znečištěnou, stanoví prováděcí právní předpis,".</w:t>
      </w:r>
    </w:p>
    <w:p w:rsidR="00757C38" w:rsidRPr="00757C38" w:rsidRDefault="00757C38" w:rsidP="00757C38">
      <w:pPr>
        <w:spacing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49885" cy="29210"/>
            <wp:effectExtent l="19050" t="0" r="0" b="0"/>
            <wp:docPr id="71" name="obrázek 71"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56. V § 82a odst. 2 se na konci písmene g) čárka nahrazuje tečkou a písmeno h) se zrušuje.</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72" name="obrázek 72"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57. V § 82a odst. 3 se slova "nebo trvalé varování před koupáním" zrušují.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73" name="obrázek 73"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58. V § 82a odst. 5 se za slova "koupání, pravidla" vkládají slova "pro zpracování monitorovacího kalendáře a pravidla".</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74" name="obrázek 74"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59. V § 83a odst. 1 písm. d) se slova "prostředků (§ 25)" nahrazují slovem "přípravků".</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75" name="obrázek 75"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60. V § 84 odst. 1 písm. a) se slova ", zásady správné laboratorní praxe pro zkoušení chemických látek podle § 29 odst. 2" zrušují.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76" name="obrázek 76"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61. V § 84 odst. 1 písm. c) se slova "nebo zvláštním právním předpisem" nahrazují slovy ", zvláštním právním předpisem nebo přímo použitelnými předpisy Evropské unie".</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77" name="obrázek 77"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62. V § 84 odst. 1 písm. u) se na začátek textu vkládá slovo "při" a slova "zjevně zdravotně závadné" se nahrazují slovy "jiné než bezpečné".</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78" name="obrázek 78"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63. V § 84 se na konci odstavce 1 tečka nahrazuje čárkou a doplňuje se písmeno z), které včetně poznámek pod čarou č. 69 a 70 zní: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"z)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mohou v případě zjištění protiprávního jednání podle nařízení Evropského parlamentu a Rady (ES) č. 2006/2004</w:t>
      </w:r>
      <w:r w:rsidRPr="00757C38">
        <w:rPr>
          <w:rFonts w:ascii="Times New Roman" w:eastAsia="Times New Roman" w:hAnsi="Times New Roman" w:cs="Times New Roman"/>
          <w:sz w:val="24"/>
          <w:szCs w:val="24"/>
          <w:vertAlign w:val="superscript"/>
          <w:lang w:eastAsia="cs-CZ"/>
        </w:rPr>
        <w:t>69)</w:t>
      </w:r>
      <w:r w:rsidRPr="00757C38">
        <w:rPr>
          <w:rFonts w:ascii="Times New Roman" w:eastAsia="Times New Roman" w:hAnsi="Times New Roman" w:cs="Times New Roman"/>
          <w:sz w:val="24"/>
          <w:szCs w:val="24"/>
          <w:lang w:eastAsia="cs-CZ"/>
        </w:rPr>
        <w:t>, kterého se kontrolovaná osoba dopustila na území členského státu Evropské unie nebo v jiném státě tvořícím Evropský hospodářský prostor a které poškozuje nebo může poškodit společný zájem spotřebitelů</w:t>
      </w:r>
      <w:r w:rsidRPr="00757C38">
        <w:rPr>
          <w:rFonts w:ascii="Times New Roman" w:eastAsia="Times New Roman" w:hAnsi="Times New Roman" w:cs="Times New Roman"/>
          <w:sz w:val="24"/>
          <w:szCs w:val="24"/>
          <w:vertAlign w:val="superscript"/>
          <w:lang w:eastAsia="cs-CZ"/>
        </w:rPr>
        <w:t>70)</w:t>
      </w:r>
      <w:r w:rsidRPr="00757C38">
        <w:rPr>
          <w:rFonts w:ascii="Times New Roman" w:eastAsia="Times New Roman" w:hAnsi="Times New Roman" w:cs="Times New Roman"/>
          <w:sz w:val="24"/>
          <w:szCs w:val="24"/>
          <w:lang w:eastAsia="cs-CZ"/>
        </w:rPr>
        <w:t>, rozhodnutím takové jednání zakázat.</w:t>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______________________________________</w:t>
      </w:r>
      <w:r w:rsidRPr="00757C38">
        <w:rPr>
          <w:rFonts w:ascii="Times New Roman" w:eastAsia="Times New Roman" w:hAnsi="Times New Roman" w:cs="Times New Roman"/>
          <w:sz w:val="24"/>
          <w:szCs w:val="24"/>
          <w:lang w:eastAsia="cs-CZ"/>
        </w:rPr>
        <w:br/>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69) </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Článek 3 písm. b) nařízení Evropského parlamentu a Rady (ES) č. 2006/2004.</w:t>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70)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Článek 3 písm. k) nařízení Evropského parlamentu a Rady (ES) č. 2006/2004.".</w:t>
      </w:r>
    </w:p>
    <w:p w:rsidR="00757C38" w:rsidRPr="00757C38" w:rsidRDefault="00757C38" w:rsidP="00757C38">
      <w:pPr>
        <w:spacing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49885" cy="29210"/>
            <wp:effectExtent l="19050" t="0" r="0" b="0"/>
            <wp:docPr id="79" name="obrázek 79"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64. V § 84 se doplňují odstavce 6 až 8, které včetně poznámek pod čarou č. 71 a 72 znějí: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80" name="obrázek 80"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 xml:space="preserve">"(6) Generální ředitelství cel poskytuje na vyžádání příslušného orgánu ochrany veřejného zdraví pro výkon státního zdravotního dozoru nad výrobky, které byly propuštěny do režimu volného oběhu nebo do režimu vývozu, tyto údaje: </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lastRenderedPageBreak/>
        <w:br/>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a)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identifikační údaje deklaranta, a to jméno, popřípadě jména a příjmení, místo pobytu, popřípadě místo podnikání, název obchodní firmy, nebo název a sídlo adresáta,</w:t>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b)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popis, včetně obchodního názvu a druhu výrobku podle svého zařazení v kombinované nomenklatuře uvedené v příloze I nařízení Rady (EHS) č. 2658/87</w:t>
      </w:r>
      <w:r w:rsidRPr="00757C38">
        <w:rPr>
          <w:rFonts w:ascii="Times New Roman" w:eastAsia="Times New Roman" w:hAnsi="Times New Roman" w:cs="Times New Roman"/>
          <w:sz w:val="24"/>
          <w:szCs w:val="24"/>
          <w:vertAlign w:val="superscript"/>
          <w:lang w:eastAsia="cs-CZ"/>
        </w:rPr>
        <w:t>71)</w:t>
      </w:r>
      <w:r w:rsidRPr="00757C38">
        <w:rPr>
          <w:rFonts w:ascii="Times New Roman" w:eastAsia="Times New Roman" w:hAnsi="Times New Roman" w:cs="Times New Roman"/>
          <w:sz w:val="24"/>
          <w:szCs w:val="24"/>
          <w:lang w:eastAsia="cs-CZ"/>
        </w:rPr>
        <w:t>,</w:t>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c)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zemi odeslání a zemi původu výrobku,</w:t>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d)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množství vyjádřené v objemu, hmotnosti nebo počtu jednotek.</w:t>
      </w:r>
    </w:p>
    <w:p w:rsidR="00757C38" w:rsidRPr="00757C38" w:rsidRDefault="00757C38" w:rsidP="00757C38">
      <w:pPr>
        <w:spacing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49885" cy="29210"/>
            <wp:effectExtent l="19050" t="0" r="0" b="0"/>
            <wp:docPr id="81" name="obrázek 81"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(7) Poskytnutí údajů podle odstavce 6 není porušením mlčenlivosti podle daňového řádu.</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82" name="obrázek 82"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(8) Příslušný orgán ochrany veřejného zdraví na základě žádosti celního úřadu vydá vyjádření v případě důvodného podezření, že zásilka neodpovídá předloženému osvědčení</w:t>
      </w:r>
      <w:r w:rsidRPr="00757C38">
        <w:rPr>
          <w:rFonts w:ascii="Times New Roman" w:eastAsia="Times New Roman" w:hAnsi="Times New Roman" w:cs="Times New Roman"/>
          <w:sz w:val="24"/>
          <w:szCs w:val="24"/>
          <w:vertAlign w:val="superscript"/>
          <w:lang w:eastAsia="cs-CZ"/>
        </w:rPr>
        <w:t>72)</w:t>
      </w:r>
      <w:r w:rsidRPr="00757C38">
        <w:rPr>
          <w:rFonts w:ascii="Times New Roman" w:eastAsia="Times New Roman" w:hAnsi="Times New Roman" w:cs="Times New Roman"/>
          <w:sz w:val="24"/>
          <w:szCs w:val="24"/>
          <w:lang w:eastAsia="cs-CZ"/>
        </w:rPr>
        <w:t xml:space="preserve"> nebo certifikátu, nebo v případě přerušení řízení o propuštění výrobků, nad kterými orgány ochrany veřejného zdraví vykonávají státní zdravotní dozor, do volného oběhu.</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t>______________________________________</w:t>
      </w:r>
      <w:r w:rsidRPr="00757C38">
        <w:rPr>
          <w:rFonts w:ascii="Times New Roman" w:eastAsia="Times New Roman" w:hAnsi="Times New Roman" w:cs="Times New Roman"/>
          <w:sz w:val="24"/>
          <w:szCs w:val="24"/>
          <w:lang w:eastAsia="cs-CZ"/>
        </w:rPr>
        <w:br/>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71) </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Nařízení Rady (EHS) č. 2658/87.</w:t>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72)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Například nařízení Komise (EU) č. 284/2011 ze dne 22. března 2011, kterým se stanoví zvláštní podmínky a podrobné postupy dovozu plastového kuchyňského nádobí z polyamidu a melaminu pocházejícího nebo zasílaného z Čínské lidové republiky a čínské zvláštní administrativní oblasti Hongkong.".</w:t>
      </w:r>
    </w:p>
    <w:p w:rsidR="00757C38" w:rsidRPr="00757C38" w:rsidRDefault="00757C38" w:rsidP="00757C38">
      <w:pPr>
        <w:spacing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49885" cy="29210"/>
            <wp:effectExtent l="19050" t="0" r="0" b="0"/>
            <wp:docPr id="83" name="obrázek 83"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65. V § 92 odst. 1 se slova "písm. n)" nahrazují slovy "písm. o)".</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84" name="obrázek 84"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66. V § 94 odst. 2 se slova "§ 26 odst. 4, 5 a 8," zrušují.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85" name="obrázek 85"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67. V § 97 se za odstavec 1 vkládá nový odstavec 2, který včetně poznámek pod čarou č. 73 a 74 zní: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86" name="obrázek 86"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"(2) V případech stanovených přímo použitelným předpisem Evropské unie je provozovatel potravinářského podniku provozující stravovací službu povinen nahradit náklady dodatečného státního zdravotního dozoru</w:t>
      </w:r>
      <w:r w:rsidRPr="00757C38">
        <w:rPr>
          <w:rFonts w:ascii="Times New Roman" w:eastAsia="Times New Roman" w:hAnsi="Times New Roman" w:cs="Times New Roman"/>
          <w:sz w:val="24"/>
          <w:szCs w:val="24"/>
          <w:vertAlign w:val="superscript"/>
          <w:lang w:eastAsia="cs-CZ"/>
        </w:rPr>
        <w:t>73)</w:t>
      </w:r>
      <w:r w:rsidRPr="00757C38">
        <w:rPr>
          <w:rFonts w:ascii="Times New Roman" w:eastAsia="Times New Roman" w:hAnsi="Times New Roman" w:cs="Times New Roman"/>
          <w:sz w:val="24"/>
          <w:szCs w:val="24"/>
          <w:lang w:eastAsia="cs-CZ"/>
        </w:rPr>
        <w:t>. Tuto povinnost má v souladu s přímo použitelným předpisem Evropské unie</w:t>
      </w:r>
      <w:r w:rsidRPr="00757C38">
        <w:rPr>
          <w:rFonts w:ascii="Times New Roman" w:eastAsia="Times New Roman" w:hAnsi="Times New Roman" w:cs="Times New Roman"/>
          <w:sz w:val="24"/>
          <w:szCs w:val="24"/>
          <w:vertAlign w:val="superscript"/>
          <w:lang w:eastAsia="cs-CZ"/>
        </w:rPr>
        <w:t>74)</w:t>
      </w:r>
      <w:r w:rsidRPr="00757C38">
        <w:rPr>
          <w:rFonts w:ascii="Times New Roman" w:eastAsia="Times New Roman" w:hAnsi="Times New Roman" w:cs="Times New Roman"/>
          <w:sz w:val="24"/>
          <w:szCs w:val="24"/>
          <w:lang w:eastAsia="cs-CZ"/>
        </w:rPr>
        <w:t xml:space="preserve"> i výrobce nebo dovozce výrobku uvedeného v § 25 odst. 1 písm. a). Prováděcí právní předpis stanoví výši paušální částky nákladů dodatečné kontroly. Povinnost nahradit náklady dodatečné kontroly uloží orgán ochrany veřejného zdraví, kterému je svěřen výkon státního zdravotního dozoru. Náhrada nákladů dodatečného státního dozoru je příjmem státního rozpočtu; vybírá ji orgán ochrany veřejného zdraví, který ji uložil, a vymáhá ji celní úřad.</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lastRenderedPageBreak/>
        <w:t>______________________________________</w:t>
      </w:r>
      <w:r w:rsidRPr="00757C38">
        <w:rPr>
          <w:rFonts w:ascii="Times New Roman" w:eastAsia="Times New Roman" w:hAnsi="Times New Roman" w:cs="Times New Roman"/>
          <w:sz w:val="24"/>
          <w:szCs w:val="24"/>
          <w:lang w:eastAsia="cs-CZ"/>
        </w:rPr>
        <w:br/>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73) </w:t>
      </w:r>
    </w:p>
    <w:p w:rsidR="00757C38" w:rsidRPr="00757C38" w:rsidRDefault="00757C38" w:rsidP="00757C38">
      <w:pPr>
        <w:spacing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Článek 28 nařízení Evropského parlamentu a Rady (ES) č. 882/2004.</w:t>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74)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Článek 24 nařízení Evropského parlamentu a Rady (ES) č. 1935/2004.".</w:t>
      </w:r>
    </w:p>
    <w:p w:rsidR="00757C38" w:rsidRPr="00757C38" w:rsidRDefault="00757C38" w:rsidP="00757C38">
      <w:pPr>
        <w:spacing w:after="240"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Dosavadní odstavec 2 se označuje jako odstavec 3.</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87" name="obrázek 87"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68. V § 99 se slova "§ 26 odst. 5 a 8," zrušují.</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88" name="obrázek 88"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69. V § 108 odst. 1 větě první se slova "§ 3 odst. 1, 3 a 5" nahrazují slovy "§ 3 odst. 1 a 3", slova "§ 4 odst. 1, 2, 4 a 7" se nahrazují slovy "§ 4 odst. 1, 2, 4, 7 a 8", slova "§ 24 odst. 1 písm. c) až e) a g) a odst. 2" se nahrazují slovy "§ 24 odst. 1 písm. b) a d)", slova "§ 26 odst. 1 písm. b) a d) a odst. 4, 8 a 9" se nahrazují slovy "§ 26 odst. 1 písm. b) a d)", slova "§ 27, § 28 odst. 1, § 29 odst. 1," se zrušují, slova "§ 82a odst. 5" se nahrazují slovy "§ 82a odst. 2 písm. d) a odst. 5", slova "a § 83e odst. 2" se nahrazují slovy ", § 83e odst. 2 a § 97 odst. 2" a věta poslední se zrušuje.</w:t>
      </w:r>
      <w:r w:rsidRPr="00757C38">
        <w:rPr>
          <w:rFonts w:ascii="Times New Roman" w:eastAsia="Times New Roman" w:hAnsi="Times New Roman" w:cs="Times New Roman"/>
          <w:sz w:val="24"/>
          <w:szCs w:val="24"/>
          <w:lang w:eastAsia="cs-CZ"/>
        </w:rPr>
        <w:br/>
      </w:r>
    </w:p>
    <w:p w:rsidR="00757C38" w:rsidRPr="00757C38" w:rsidRDefault="00757C38" w:rsidP="00757C38">
      <w:pPr>
        <w:spacing w:line="240" w:lineRule="auto"/>
        <w:jc w:val="center"/>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Čl. II</w:t>
      </w:r>
    </w:p>
    <w:p w:rsidR="00757C38" w:rsidRPr="00757C38" w:rsidRDefault="00757C38" w:rsidP="00757C38">
      <w:pPr>
        <w:spacing w:line="240" w:lineRule="auto"/>
        <w:rPr>
          <w:rFonts w:ascii="Times New Roman" w:eastAsia="Times New Roman" w:hAnsi="Times New Roman" w:cs="Times New Roman"/>
          <w:sz w:val="24"/>
          <w:szCs w:val="24"/>
          <w:lang w:eastAsia="cs-CZ"/>
        </w:rPr>
      </w:pPr>
    </w:p>
    <w:p w:rsidR="00757C38" w:rsidRPr="00757C38" w:rsidRDefault="00757C38" w:rsidP="00757C38">
      <w:pPr>
        <w:spacing w:line="240" w:lineRule="auto"/>
        <w:jc w:val="center"/>
        <w:rPr>
          <w:rFonts w:ascii="Times New Roman" w:eastAsia="Times New Roman" w:hAnsi="Times New Roman" w:cs="Times New Roman"/>
          <w:sz w:val="24"/>
          <w:szCs w:val="24"/>
          <w:lang w:eastAsia="cs-CZ"/>
        </w:rPr>
      </w:pPr>
      <w:r w:rsidRPr="00757C38">
        <w:rPr>
          <w:rFonts w:ascii="Times New Roman" w:eastAsia="Times New Roman" w:hAnsi="Times New Roman" w:cs="Times New Roman"/>
          <w:b/>
          <w:bCs/>
          <w:sz w:val="24"/>
          <w:szCs w:val="24"/>
          <w:lang w:eastAsia="cs-CZ"/>
        </w:rPr>
        <w:t>Přechodná ustanovení</w:t>
      </w:r>
    </w:p>
    <w:p w:rsidR="00757C38" w:rsidRPr="00757C38" w:rsidRDefault="00757C38" w:rsidP="00757C38">
      <w:pPr>
        <w:spacing w:after="240"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89" name="obrázek 89"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1. Provozovatel potravinářského podniku, který podle § 23 odst. 4 věty poslední zákona č. 258/2000 Sb., ve znění účinném přede dnem nabytí účinnosti tohoto zákona, neměl povinnost podat oznámení podle přímo použitelného předpisu Evropské unie o hygieně potravin, podá toto oznámení nejpozději do 4 měsíců po dni nabytí účinnosti tohoto zákona.</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90" name="obrázek 90"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2. Žádosti podle § 3 odst. 5 a § 5 odst. 6 zákona č. 258/2000 Sb., ve znění účinném po dni nabytí účinnosti tohoto zákona, podané přede dnem nabytí účinnosti tohoto zákona, se posuzují podle dosavadních právních předpisů.</w:t>
      </w:r>
      <w:r w:rsidRPr="00757C38">
        <w:rPr>
          <w:rFonts w:ascii="Times New Roman" w:eastAsia="Times New Roman" w:hAnsi="Times New Roman" w:cs="Times New Roman"/>
          <w:sz w:val="24"/>
          <w:szCs w:val="24"/>
          <w:lang w:eastAsia="cs-CZ"/>
        </w:rPr>
        <w:br/>
      </w:r>
    </w:p>
    <w:p w:rsidR="00757C38" w:rsidRPr="00757C38" w:rsidRDefault="00757C38" w:rsidP="00757C38">
      <w:pPr>
        <w:spacing w:line="240" w:lineRule="auto"/>
        <w:jc w:val="center"/>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Čl. III</w:t>
      </w:r>
    </w:p>
    <w:p w:rsidR="00757C38" w:rsidRPr="00757C38" w:rsidRDefault="00757C38" w:rsidP="00757C38">
      <w:pPr>
        <w:spacing w:line="240" w:lineRule="auto"/>
        <w:rPr>
          <w:rFonts w:ascii="Times New Roman" w:eastAsia="Times New Roman" w:hAnsi="Times New Roman" w:cs="Times New Roman"/>
          <w:sz w:val="24"/>
          <w:szCs w:val="24"/>
          <w:lang w:eastAsia="cs-CZ"/>
        </w:rPr>
      </w:pPr>
    </w:p>
    <w:p w:rsidR="00757C38" w:rsidRPr="00757C38" w:rsidRDefault="00757C38" w:rsidP="00757C38">
      <w:pPr>
        <w:spacing w:line="240" w:lineRule="auto"/>
        <w:jc w:val="center"/>
        <w:rPr>
          <w:rFonts w:ascii="Times New Roman" w:eastAsia="Times New Roman" w:hAnsi="Times New Roman" w:cs="Times New Roman"/>
          <w:sz w:val="24"/>
          <w:szCs w:val="24"/>
          <w:lang w:eastAsia="cs-CZ"/>
        </w:rPr>
      </w:pPr>
      <w:r w:rsidRPr="00757C38">
        <w:rPr>
          <w:rFonts w:ascii="Times New Roman" w:eastAsia="Times New Roman" w:hAnsi="Times New Roman" w:cs="Times New Roman"/>
          <w:b/>
          <w:bCs/>
          <w:sz w:val="24"/>
          <w:szCs w:val="24"/>
          <w:lang w:eastAsia="cs-CZ"/>
        </w:rPr>
        <w:t>Zrušovací ustanovení</w:t>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91" name="obrázek 91"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Zrušuje se:</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1.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Vyhláška č. 448/2009 Sb., o stanovení hygienických požadavků na kosmetické prostředky.</w:t>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2.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Vyhláška č. 89/2010 Sb., kterou se mění vyhláška č. 448/2009 Sb., o stanovení hygienických požadavků na kosmetické prostředky.</w:t>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3.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lastRenderedPageBreak/>
        <w:t>Vyhláška č. 220/2010 Sb., kterou se mění vyhláška č. 448/2009 Sb., o stanovení hygienických požadavků na kosmetické prostředky, ve znění vyhlášky č. 89/2010 Sb.</w:t>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4.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Vyhláška č. 362/2011 Sb., kterou se mění vyhláška č. 448/2009 Sb., o stanovení hygienických požadavků na kosmetické prostředky, ve znění pozdějších předpisů.</w:t>
      </w:r>
    </w:p>
    <w:p w:rsidR="00757C38" w:rsidRPr="00757C38" w:rsidRDefault="00757C38" w:rsidP="00757C38">
      <w:pPr>
        <w:spacing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 xml:space="preserve">5. </w:t>
      </w:r>
    </w:p>
    <w:p w:rsidR="00757C38" w:rsidRPr="00757C38" w:rsidRDefault="00757C38" w:rsidP="00757C38">
      <w:pPr>
        <w:spacing w:after="240" w:line="240" w:lineRule="auto"/>
        <w:ind w:left="720"/>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Vyhláška č. 244/2012 Sb., kterou se mění vyhláška č. 448/2009 Sb., o stanovení hygienických požadavků na kosmetické prostředky, ve znění pozdějších předpisů.</w:t>
      </w:r>
      <w:r w:rsidRPr="00757C38">
        <w:rPr>
          <w:rFonts w:ascii="Times New Roman" w:eastAsia="Times New Roman" w:hAnsi="Times New Roman" w:cs="Times New Roman"/>
          <w:sz w:val="24"/>
          <w:szCs w:val="24"/>
          <w:lang w:eastAsia="cs-CZ"/>
        </w:rPr>
        <w:br/>
      </w:r>
      <w:r w:rsidRPr="00757C38">
        <w:rPr>
          <w:rFonts w:ascii="Times New Roman" w:eastAsia="Times New Roman" w:hAnsi="Times New Roman" w:cs="Times New Roman"/>
          <w:sz w:val="24"/>
          <w:szCs w:val="24"/>
          <w:lang w:eastAsia="cs-CZ"/>
        </w:rPr>
        <w:br/>
      </w:r>
    </w:p>
    <w:p w:rsidR="00757C38" w:rsidRPr="00757C38" w:rsidRDefault="00757C38" w:rsidP="00757C38">
      <w:pPr>
        <w:spacing w:line="240" w:lineRule="auto"/>
        <w:jc w:val="center"/>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t>Čl. IV</w:t>
      </w:r>
    </w:p>
    <w:p w:rsidR="00757C38" w:rsidRPr="00757C38" w:rsidRDefault="00757C38" w:rsidP="00757C38">
      <w:pPr>
        <w:spacing w:line="240" w:lineRule="auto"/>
        <w:rPr>
          <w:rFonts w:ascii="Times New Roman" w:eastAsia="Times New Roman" w:hAnsi="Times New Roman" w:cs="Times New Roman"/>
          <w:sz w:val="24"/>
          <w:szCs w:val="24"/>
          <w:lang w:eastAsia="cs-CZ"/>
        </w:rPr>
      </w:pPr>
    </w:p>
    <w:p w:rsidR="00757C38" w:rsidRPr="00757C38" w:rsidRDefault="00757C38" w:rsidP="00757C38">
      <w:pPr>
        <w:spacing w:line="240" w:lineRule="auto"/>
        <w:jc w:val="center"/>
        <w:rPr>
          <w:rFonts w:ascii="Times New Roman" w:eastAsia="Times New Roman" w:hAnsi="Times New Roman" w:cs="Times New Roman"/>
          <w:sz w:val="24"/>
          <w:szCs w:val="24"/>
          <w:lang w:eastAsia="cs-CZ"/>
        </w:rPr>
      </w:pPr>
      <w:r w:rsidRPr="00757C38">
        <w:rPr>
          <w:rFonts w:ascii="Times New Roman" w:eastAsia="Times New Roman" w:hAnsi="Times New Roman" w:cs="Times New Roman"/>
          <w:b/>
          <w:bCs/>
          <w:sz w:val="24"/>
          <w:szCs w:val="24"/>
          <w:lang w:eastAsia="cs-CZ"/>
        </w:rPr>
        <w:t>Účinnost</w:t>
      </w:r>
    </w:p>
    <w:p w:rsidR="00757C38" w:rsidRPr="00757C38" w:rsidRDefault="00757C38" w:rsidP="00757C38">
      <w:pPr>
        <w:spacing w:after="240" w:line="240" w:lineRule="auto"/>
        <w:rPr>
          <w:rFonts w:ascii="Times New Roman" w:eastAsia="Times New Roman" w:hAnsi="Times New Roman" w:cs="Times New Roman"/>
          <w:sz w:val="24"/>
          <w:szCs w:val="24"/>
          <w:lang w:eastAsia="cs-CZ"/>
        </w:rPr>
      </w:pPr>
      <w:r w:rsidRPr="00757C38">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49885" cy="29210"/>
            <wp:effectExtent l="19050" t="0" r="0" b="0"/>
            <wp:docPr id="92" name="obrázek 92" descr="http://www.sbirka.cz/POSL4TYD/NOVE/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http://www.sbirka.cz/POSL4TYD/NOVE/tab.gif"/>
                    <pic:cNvPicPr>
                      <a:picLocks noChangeAspect="1" noChangeArrowheads="1"/>
                    </pic:cNvPicPr>
                  </pic:nvPicPr>
                  <pic:blipFill>
                    <a:blip r:embed="rId4" cstate="print"/>
                    <a:srcRect/>
                    <a:stretch>
                      <a:fillRect/>
                    </a:stretch>
                  </pic:blipFill>
                  <pic:spPr bwMode="auto">
                    <a:xfrm>
                      <a:off x="0" y="0"/>
                      <a:ext cx="349885" cy="29210"/>
                    </a:xfrm>
                    <a:prstGeom prst="rect">
                      <a:avLst/>
                    </a:prstGeom>
                    <a:noFill/>
                    <a:ln w="9525">
                      <a:noFill/>
                      <a:miter lim="800000"/>
                      <a:headEnd/>
                      <a:tailEnd/>
                    </a:ln>
                  </pic:spPr>
                </pic:pic>
              </a:graphicData>
            </a:graphic>
          </wp:inline>
        </w:drawing>
      </w:r>
      <w:r w:rsidRPr="00757C38">
        <w:rPr>
          <w:rFonts w:ascii="Times New Roman" w:eastAsia="Times New Roman" w:hAnsi="Times New Roman" w:cs="Times New Roman"/>
          <w:sz w:val="24"/>
          <w:szCs w:val="24"/>
          <w:lang w:eastAsia="cs-CZ"/>
        </w:rPr>
        <w:t>Tento zákon nabývá účinnosti dnem 1. srpna 2013, s výjimkou ustanovení čl. I bodu 37, který, pokud jde o označení kosmetických přípravků, nabývá účinnosti prvním dnem šestého kalendářního měsíce následujícího po dni jeho vyhlášení, a ustanovení čl. I bodu 41, který nabývá účinnosti dnem jeho vyhlášení.</w:t>
      </w:r>
      <w:r w:rsidRPr="00757C38">
        <w:rPr>
          <w:rFonts w:ascii="Times New Roman" w:eastAsia="Times New Roman" w:hAnsi="Times New Roman" w:cs="Times New Roman"/>
          <w:sz w:val="24"/>
          <w:szCs w:val="24"/>
          <w:lang w:eastAsia="cs-CZ"/>
        </w:rPr>
        <w:br/>
      </w:r>
    </w:p>
    <w:p w:rsidR="00757C38" w:rsidRPr="00757C38" w:rsidRDefault="00757C38" w:rsidP="00757C38">
      <w:pPr>
        <w:spacing w:line="240" w:lineRule="auto"/>
        <w:jc w:val="center"/>
        <w:rPr>
          <w:rFonts w:ascii="Times New Roman" w:eastAsia="Times New Roman" w:hAnsi="Times New Roman" w:cs="Times New Roman"/>
          <w:sz w:val="24"/>
          <w:szCs w:val="24"/>
          <w:lang w:eastAsia="cs-CZ"/>
        </w:rPr>
      </w:pPr>
      <w:r w:rsidRPr="00757C38">
        <w:rPr>
          <w:rFonts w:ascii="Times New Roman" w:eastAsia="Times New Roman" w:hAnsi="Times New Roman" w:cs="Times New Roman"/>
          <w:b/>
          <w:bCs/>
          <w:sz w:val="24"/>
          <w:szCs w:val="24"/>
          <w:lang w:eastAsia="cs-CZ"/>
        </w:rPr>
        <w:t>Němcová</w:t>
      </w:r>
      <w:r w:rsidRPr="00757C38">
        <w:rPr>
          <w:rFonts w:ascii="Times New Roman" w:eastAsia="Times New Roman" w:hAnsi="Times New Roman" w:cs="Times New Roman"/>
          <w:sz w:val="24"/>
          <w:szCs w:val="24"/>
          <w:lang w:eastAsia="cs-CZ"/>
        </w:rPr>
        <w:t xml:space="preserve"> v. r.</w:t>
      </w:r>
    </w:p>
    <w:p w:rsidR="00757C38" w:rsidRPr="00757C38" w:rsidRDefault="00757C38" w:rsidP="00757C38">
      <w:pPr>
        <w:spacing w:line="240" w:lineRule="auto"/>
        <w:jc w:val="center"/>
        <w:rPr>
          <w:rFonts w:ascii="Times New Roman" w:eastAsia="Times New Roman" w:hAnsi="Times New Roman" w:cs="Times New Roman"/>
          <w:sz w:val="24"/>
          <w:szCs w:val="24"/>
          <w:lang w:eastAsia="cs-CZ"/>
        </w:rPr>
      </w:pPr>
      <w:r w:rsidRPr="00757C38">
        <w:rPr>
          <w:rFonts w:ascii="Times New Roman" w:eastAsia="Times New Roman" w:hAnsi="Times New Roman" w:cs="Times New Roman"/>
          <w:b/>
          <w:bCs/>
          <w:sz w:val="24"/>
          <w:szCs w:val="24"/>
          <w:lang w:eastAsia="cs-CZ"/>
        </w:rPr>
        <w:t>Zeman</w:t>
      </w:r>
      <w:r w:rsidRPr="00757C38">
        <w:rPr>
          <w:rFonts w:ascii="Times New Roman" w:eastAsia="Times New Roman" w:hAnsi="Times New Roman" w:cs="Times New Roman"/>
          <w:sz w:val="24"/>
          <w:szCs w:val="24"/>
          <w:lang w:eastAsia="cs-CZ"/>
        </w:rPr>
        <w:t xml:space="preserve"> v. r.</w:t>
      </w:r>
    </w:p>
    <w:p w:rsidR="00757C38" w:rsidRPr="00757C38" w:rsidRDefault="00757C38" w:rsidP="00757C38">
      <w:pPr>
        <w:spacing w:line="240" w:lineRule="auto"/>
        <w:jc w:val="center"/>
        <w:rPr>
          <w:rFonts w:ascii="Times New Roman" w:eastAsia="Times New Roman" w:hAnsi="Times New Roman" w:cs="Times New Roman"/>
          <w:sz w:val="24"/>
          <w:szCs w:val="24"/>
          <w:lang w:eastAsia="cs-CZ"/>
        </w:rPr>
      </w:pPr>
      <w:r w:rsidRPr="00757C38">
        <w:rPr>
          <w:rFonts w:ascii="Times New Roman" w:eastAsia="Times New Roman" w:hAnsi="Times New Roman" w:cs="Times New Roman"/>
          <w:b/>
          <w:bCs/>
          <w:sz w:val="24"/>
          <w:szCs w:val="24"/>
          <w:lang w:eastAsia="cs-CZ"/>
        </w:rPr>
        <w:t>Rusnok</w:t>
      </w:r>
      <w:r w:rsidRPr="00757C38">
        <w:rPr>
          <w:rFonts w:ascii="Times New Roman" w:eastAsia="Times New Roman" w:hAnsi="Times New Roman" w:cs="Times New Roman"/>
          <w:sz w:val="24"/>
          <w:szCs w:val="24"/>
          <w:lang w:eastAsia="cs-CZ"/>
        </w:rPr>
        <w:t xml:space="preserve"> v. r.</w:t>
      </w:r>
    </w:p>
    <w:p w:rsidR="00735744" w:rsidRDefault="00757C38" w:rsidP="00757C38">
      <w:r w:rsidRPr="00757C38">
        <w:rPr>
          <w:rFonts w:ascii="Times New Roman" w:eastAsia="Times New Roman" w:hAnsi="Times New Roman" w:cs="Times New Roman"/>
          <w:sz w:val="24"/>
          <w:szCs w:val="24"/>
          <w:lang w:eastAsia="cs-CZ"/>
        </w:rPr>
        <w:br/>
      </w:r>
    </w:p>
    <w:sectPr w:rsidR="00735744" w:rsidSect="0073574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efaultTabStop w:val="708"/>
  <w:hyphenationZone w:val="425"/>
  <w:characterSpacingControl w:val="doNotCompress"/>
  <w:compat/>
  <w:rsids>
    <w:rsidRoot w:val="00757C38"/>
    <w:rsid w:val="00735744"/>
    <w:rsid w:val="00757C38"/>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35744"/>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757C38"/>
    <w:pPr>
      <w:spacing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757C3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94481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gif"/></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4211</Words>
  <Characters>24851</Characters>
  <Application>Microsoft Office Word</Application>
  <DocSecurity>0</DocSecurity>
  <Lines>207</Lines>
  <Paragraphs>58</Paragraphs>
  <ScaleCrop>false</ScaleCrop>
  <Company/>
  <LinksUpToDate>false</LinksUpToDate>
  <CharactersWithSpaces>29004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Pinďa</dc:creator>
  <cp:lastModifiedBy>Pinďa</cp:lastModifiedBy>
  <cp:revision>1</cp:revision>
  <dcterms:created xsi:type="dcterms:W3CDTF">2013-08-03T10:25:00Z</dcterms:created>
  <dcterms:modified xsi:type="dcterms:W3CDTF">2013-08-03T10:25:00Z</dcterms:modified>
</cp:coreProperties>
</file>